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21 17/262 vom 1. September 2018</w:t>
      </w:r>
    </w:p>
    <w:p>
      <w:r>
        <w:t>BL Gerichte, 2018-09-01, DE</w:t>
      </w:r>
    </w:p>
    <w:p>
      <w:r>
        <w:rPr>
          <w:b/>
        </w:rPr>
        <w:t xml:space="preserve">Quelle: </w:t>
      </w:r>
      <w:r>
        <w:t>https://mcp.opencaselaw.ch/entscheid/bl_gerichte_745 21 17_262</w:t>
      </w:r>
    </w:p>
    <w:p>
      <w:r>
        <w:t>FR: BL_GERICHTE 745 21 17/262 du 1 septembre 2018</w:t>
      </w:r>
    </w:p>
    <w:p>
      <w:r>
        <w:t>IT: BL_GERICHTE 745 21 17/262 del 1 settembre 2018</w:t>
      </w:r>
    </w:p>
    <w:p>
      <w:pPr>
        <w:pStyle w:val="Heading2"/>
      </w:pPr>
      <w:r>
        <w:t>Regeste</w:t>
      </w:r>
    </w:p>
    <w:p>
      <w:r>
        <w:t>Ergänzungsleistungen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form- und fristgerecht eingereichte Beschwerde ist demnach einzutreten.</w:t>
      </w:r>
    </w:p>
    <w:p>
      <w:r>
        <w:rPr>
          <w:b/>
        </w:rPr>
        <w:t>E. 2</w:t>
      </w:r>
    </w:p>
    <w:p>
      <w:r>
        <w:t>Vorliegend strittig und zu prüfen ist, ob die von der Ausgleichskasse vorgenommene Wiedererwägung in Bezug auf die Anrechnung eines Vermögensverzichts in Höhe von Fr. 120'000.-- ab 1. Januar 2018 rechtens ist. 3.1 Am 1. Januar 2021 sind die geänderten Bestimmungen des ELG und der Verordnung über Ergänzungsleistungen zur Alters-, Hinterlassenen- und Invalidenversicherung (ELV)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Da hier der Anspruch auf Zusatzleistungen für einen Zeitraum bis längstens zum Erlass des angefochtenen Einspracheentscheids vom 2. Oktober 2020, der rechtsprechungsgemäss die zeitliche Grenze der richterlichen Überprüfungsbefugnis darstellt (BGE 129 V 1 E. 1.2 mit Hinweisen; Urteil des Bundesgerichts vom 24. Januar 2005 P 35/04 E. 1), Gegenstand des Verfahrens bildet, finden die bis 31. Dezember 2020 gültig gewesenen Normen auf den vorliegenden Fall Anwendung und werden in dieser Fassung zitiert. 3.2 Vorab ist auf folgende Verfahrensgrundsätze hinzuweisen: Dem Kantonsgericht kommt in Sozialversicherungssachen eine vollständige Überprüfungsbefugnis zu. Es ist in der Beweiswürdigung frei (vgl. § 57 des Gesetzes über die Verfassungs- und Verwaltungsprozessordnung [VPO] vom 16. Dezember 1993 in Verbindung mit Art. 61 Satz 1 des Bundesgesetzes über den Allgemeinen Teil des Sozialversicherungsrechts [ATSG] vom 6. Oktober 2000; Art. 61 lit. c ATSG). Die Verwaltung als verfügende Instanz und - im Beschwerdefall - das Gericht dürfen eine Tatsache sodann nur dann als bewiesen annehmen, wenn sie von ihrem Bestehen überzeugt sind (vgl. René Rhinow/Heinrich Koller/Christina Kiss/Daniela Thurnherr/Denise Brühl-Moser , Öffentliches Prozessrecht, 3. Auflage, Basel 2014, N 999).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 3.3 Der den Sozialversicherungsprozess beherrschende Untersuchungsgrundsatz (Art. 61 lit. c ATSG i.V.m. Art. 1 ELG)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(BGE 107 V 163 E. 3a mit Hinweisen). 3.4 Im Bereich der Ergänzungsleistungen gilt die Besonderheit, dass gerade das Fehlen von anrechenbarem Einkommen und Vermögen den Anspruch auf Ergänzungsleistungen zu begründen vermag und dass die Ergänzungsleistungen umso höher ausfallen, je geringer das anrechenbare Einkommen und das anrechenbare Vermögen sind. Handelt es sich aber beim - ganzen oder teilweisen - Fehlen von Einkommen und Vermögen um anspruchsbegründende Tatsachen, so trägt dafür grundsätzlich der Leistungsansprecher bzw. die -ansprecherin die Beweislast (BGE 121 V 208 E. 6a). 4.1 Gemäss Art. 2 Abs. 1 ELG gewähren der Bund und die Kantone Personen, welche die Voraussetzungen nach den Art. 4-6 ELG erfüllen, Ergänzungsleistungen zur Deckung ihres Existenzbedarfs. Nach Art. 4 Abs. 1 lit. c ELG haben Personen mit Wohnsitz und gewöhnlichem Aufenthalt in der Schweiz Anspruch auf Ergänzungsleistungen, wenn sie Anspruch auf eine Rente der IV haben. Die jährliche Ergänzungsleistung (Art. 3 Abs. 1 lit. a ELG) entspricht dem Betrag, um den die anerkannten Ausgaben die anrechenbaren Einnahmen übersteigen (Art. 9 Abs. 1 ELG). Als anrechenbare Einnahmen gelten unter anderem Renten, Pensionen und andere wiederkehrende Leistungen (Art. 11 Abs. 1 lit. d ELG). 4.2 Eine Leistung der Sozialversicherung ist nach ständiger bundesgerichtlicher Rechtsprechung nur zurückzuerstatten, wenn in verfahrensrechtlicher Hinsicht entweder die für die (prozessuale) Revision oder die für die Wiedererwägung erforderlichen Voraussetzungen erfüllt sind. 4.2.1 Formell rechtskräftige Verfügungen und Einspracheentscheide müssen gemäss Art. 53 Abs. 1 ATSG in Revision gezogen werden, wenn die versicherte Person oder der Versicherungsträger nach deren Erlass erhebliche neue Tatsachen entdeckt oder Beweismittel auffindet, deren Beibringung zuvor nicht möglich war. Im vorliegenden Fall beurteilte die Ausgleichskasse den EL-Anspruch des Beschwerdeführers anhand von bereits vorhandenen Unterlagen erneut. Erhebliche neue Tatsachen oder Beweismittel sind aus der Aktenlage nicht ersichtlich, weswegen die Voraussetzungen für eine Revision nicht vorliegen. 4.2.2 Gemäss Art. 53 Abs. 2 ATSG kann der Versicherungsträger wiedererwägungsweise auf formell rechtskräftige Verfügungen oder Einspracheentscheide zurückkommen, wenn diese zweifellos unrichtig sind und ihre Berichtigung von erheblicher Bedeutung ist. Voraussetzung für eine Wiedererwägung ist, dass kein vernünftiger Zweifel an der Unrichtigkeit der Verfügung möglich, also nur dieser einzige Schluss denkbar ist (SVR 2010 IV Nr. 5 S. 10, Urteil des Bundesgerichts vom 17. August 2009, 8C_1012/2008, E. 4.1; Urteile des Bundesgerichts vom 19. September 2013, 9C_321/2013, E. 2.1.1 und vom 29. Oktober 2010, 9C_587/2010, E. 3.3.1). Dieses Erfordernis ist in der Regel erfüllt, wenn eine Leistungszusprechung aufgrund falscher Rechtsregeln erfolgt ist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Leistungszusprechung (BGE 125 V 383 E. 3 S. 389) als vertretbar, scheidet die Annahme zweifelloser Unrichtigkeit aus (vgl. Urteile des Bundesgerichts vom 19. September 2013, 9C_321/2013, E. 2.1.1 und vom 22. Dezember 2010, 9C_621/2010, E. 2.2). Die Voraussetzungen für eine Wiedererwägung sind im vorliegenden Fall teilweise erfüllt. 4.3 Vorliegend hat die Ausgleichskasse bei der Berechnung des Anspruchs auf Ergänzungsleistungen die Nachzahlung der Unfallversicherung in Höhe von Fr. 200'000.-- zunächst ab 1. Februar 2016 berücksichtigt. Da Ergänzungsleistungen die Deckung der laufenden Lebensbedürfnisse bezwecken und dadurch nur tatsächlich vereinnahmte Einkünfte und vorhandene Vermögenswerte berücksichtigt werden dürfen, über die der Leistungsansprecher oder die Leistungsansprecherin ungeschmälert verfügen kann (mit Ausnahme des Verzichts auf Einkünfte oder Vermögenswerte), wurde mit der Anrechnung der UV-Nachzahlung ab 1. Januar 2016 der bundesgerichtlichen Rechtsprechung widersprochen (vgl. Urteil des Bundesgerichts vom 1. März 2017, 9C_447/2016, E. 4.2.1 mit Verweis auf Art. 11 Abs. 1 lit. g ELG; BGE 127 V 248 E. 4a; Urteile vom 3. November 2016, 9C_333/2016, E. 3 und vom 16. März 2015, 9C_901/2014, E. 3.4.1). Damit ist diesbezüglich die Voraussetzung der zweifellosen Unrichtigkeit erfüllt. Was das Kriterium der erheblichen Bedeutung der Berichtigung anbelangt, so ist dieses praxisgemäss bei der Berichtigung von periodischen Dauerleistungen, wie sie auch die Ergänzungsleistungen darstellen, regelmässig erfüllt (vgl. BGE 119 V 475 E. 1c mit Hinweisen; Urteile des Bundesgerichts vom 19. Februar 2010, 9C_482/2009, E. 3.4.3 und vom 29. Januar 2010, 9C_507/2009, E. 6.1). Folglich sind die Wiedererwägungsvoraussetzungen in Bezug auf den Zeitpunkt der Anrechnung der UV-Nachzahlung erfüllt. Die Wiedererwägung des Zeitpunkts der Anrechnung der UV-Nachzahlung wird zudem vom Beschwerdeführer nicht bestritten, weswegen diesbezüglich die Rechtmässigkeit der Wiedererwägung zu bejahen ist. 4.4.1 Im Rahmen der Wiedererwägung berücksichtigte die Ausgleichskasse sodann neuerdings einen Vermögensverzicht in Höhe von Fr. 120'000.-- per Januar 2018, mit der Begründung, dass die rechtliche Grundlage für die Zahlung an die Mutter nicht ausreichend belegt sei. 4.4.2 Die Wiedererwägung dient der nachträglichen Korrektur ursprünglich unrichtiger Rechtsanwendungen oder Sachverhaltsfeststellungen durch die Verwaltung und fällt nur in Betracht, wenn es um die Korrektur grober Fehler geht. Auf formell rechtskräftige Verfügungen, welche nicht Gegenstand materieller richterlicher Beurteilung bildeten, kann die Verwaltung grundsätzlich jederzeit von Amtes wegen zurückkommen, sofern sie zweifellos unrichtig sind und ihre Berichtigung von erheblicher Bedeutung ist.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Leistungszusprache darbot, als vertretbar, scheidet die Annahme zweifelloser Unrichtigkeit aus (Urteile des Bundesgerichts vom 30. Oktober 2012, 9C_396/2012, E. 2; vom 22. Juli 2010, 8C_920/2009, E. 2.4 und vom 17. August 2009, 8C_1012/2008, E. 2). Insbesondere darf das Erfordernis der zweifellosen Unrichtigkeit die Wiedererwägung rechtsprechungsgemäss nicht zum Instrument einer voraussetzungslosen Neuprüfung von Dauerleistungen werden lassen. Es würde nicht dem Sinn der Wiedererwägung entsprechen, laufende Ansprüche zufolge nachträglich gewonnener besserer Einsicht der Durchführungsorgane jederzeit einer Neubeurteilung zuführen zu können. 4.4.3 Als Einkommen anzurechnen sind auch Einkünfte und Vermögenswerte, auf die verzichtet worden ist (Art. 11 Abs. 1 lit. g ELG). Eine Verzichtshandlung liegt nach der Rechtsprechung vor, wenn die leistungsansprechende Person auf Einkünfte oder Vermögen verzichtet hat, ohne dass hierzu eine rechtliche Verpflichtung oder ein (anderer) zwingender Grund bestanden hat und ohne eine adäquate Gegenleistung erhalten zu haben (BGE 121 V 206 E. 4b mit Hinweisen). Diese Voraussetzungen müssen nicht kumulativ erfüllt sein; es reicht, wenn alternativ eines der beiden Elemente gegeben ist (BGE 131 V 332 E. 4.2 ff. mit Hinweisen). Eine Gegenleistung ist als adäquat zu betrachten, wenn sie etwa 90% der Leistung erreicht. Ein Vermögensverzicht ist beispielsweise bei Schenkungen, Zuwendungen und gewährten Erbvorbezügen anzurechnen ( Erwin Carigiet/Uwe Koch , Ergänzungsleistungen zur AHV/IV, 2. Auflage, Zürich/Basel/Genf 2009, S. 173 ff.). Bei der Frage, ob es sich bei einer Zahlung um eine Rechtspflicht handelte oder diese aus einem anderen zwingenden Grund erfolgte und insbesondere, ob der Zahlung eine adäquate Gegenleistung gegenüberstand, handelt es sich um einen Ermessensentscheid. Die Nichtberücksichtigung der Zahlung wurde im September 2018 in vollständiger Kenntnis der Zahlung an die Mutter und die zugrundeliegende vertragliche Grundlage verfügt. Da es sich bei der Frage, ob die Ausgabe in Höhe von Fr. 120'000.-- genügend belegt ist, um eine materielle Frage, deren Beantwortung in das Ermessen der Ausgleichskasse fällt, handelt, und zwischenzeitlich keine neuen Erkenntnisse, die für die revisionsweise Annahme eines Vermögensverzichts sprechen, aufgetaucht sind, ist deren Überprüfung mittels Wiedererwägung nicht zulässig. Die Zahlung ist somit nach wie vor nicht als Verzichtsvermögen anzurechnen und die Verfügung entsprechend abzuändern.</w:t>
      </w:r>
    </w:p>
    <w:p>
      <w:r>
        <w:rPr>
          <w:b/>
        </w:rPr>
        <w:t>E. 5</w:t>
      </w:r>
    </w:p>
    <w:p>
      <w:r>
        <w:t>Aus den obigen Ausführungen ergibt sich, dass die Beschwerdegegnerin die Anrechnung eines Vermögensverzichts zu Unrecht in Wiedererwägung gezogen hat. In diesem Sinne ist die Beschwerde gutzuheissen und die Angelegenheit zur neuen Verfügung im Sinne der Erwägungen an die Vorinstanz zurückzuweisen.</w:t>
      </w:r>
    </w:p>
    <w:p>
      <w:r>
        <w:rPr>
          <w:b/>
        </w:rPr>
        <w:t>E. 6</w:t>
      </w:r>
    </w:p>
    <w:p>
      <w:r>
        <w:t>Im Weiteren fällt auf, dass in der Verfügung vom 22. Juli 2020 der EL-Anspruch des Beschwerdeführers für den Zeitraum April 2020 bis Juli 2020 nach wie vor gemäss den Vorgaben für eine alleinstehende Person berechnet wurde, obwohl dieser mit Schreiben vom 10. Juni 2020 der Ausgleichskasse mitteilte, im Dezember 2019 geheiratet zu haben und seit dem 13. März 2020 mit seiner Ehefrau zusammenzuwohnen. Gemäss Art. 25 Abs. 1 lit. a i.V.m. Art. 25 Abs. 2 lit. a ELV sind die EL bei einer Veränderung der der EL-Berechnung zugrunde liegenden Personengemeinschaft ohne Einfluss auf die Rente auf Beginn des der Veränderung folgenden Monats anzupassen. Der Beschwerdegegnerin obliegt somit im Rahmen der Neuverfügung die Prüfung, ob der EL-Anspruch des Beschwerdeführers auch diesbezüglich anzupassen ist. 7.1 Es bleibt über die Kosten zu entscheiden.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7.2 Gemäss Art. 61 lit. g Satz 1 ATSG hat die obsiegende Beschwerde führende Person Anspruch auf Ersatz der Parteikosten. Da der Beschwerdeführer obsiegt hat, ist ihm eine Parteientschädigung zu Lasten der Ausgleichskasse zuzusprechen. Der Rechtsvertreter des Beschwerdeführers hat in seiner Honorarnote vom 19. Juni 2021 für das vorliegende Beschwerdeverfahren einen Zeitaufwand von insgesamt 7 Stunden und 15 Minuten - inkl. eine Stunde für das Studium des Urteils und 45 Minuten für die Besprechung des Urteils mit der Klientschaft - ausgewiesen. Der Zeitaufwand für das Aktenstudium und das Verfassen der Beschwerde von insgesamt 5 Stunden und 30 Minuten erweist sich in Anbetracht der sich stellenden Sachverhalts- und Rechtsfragen als angemessen. Für das Studium des Urteils und die Besprechung mit der Klientschaft wird in der Regel eine Stunde Aufwand berücksichtigt. Die vorliegende Honorarnote ist deshalb um die darüberhinausgehenden 45 Minuten zu kürzen. Insgesamt kann somit ein Aufwand von 6 Stunden und 30 Minuten berücksichtigt werden. Nicht zu beanstanden ist sodann die in der Honorarnote ausgewiesene, zwar eher unüblich hohe aber im Gesamtbetrag angemessene Spesenpauschale von 5%. Die Bemühungen sind zu dem in Sozialversicherungsprozessen praxisgemäss zur Anwendung gelangenden Stundenansatz von Fr. 250.-- zu entschädigen. Dem Beschwerdeführer ist deshalb eine Parteientschädigung in der Höhe von Fr. 1'837.65 (6.5 Stunden à Fr. 250.-- + Spesenpauschale von 5% zuzüglich 7,7% Mehrwertsteuer) zu Lasten der Ausgleichskasse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gutgeheissen und der angefochtene Einspracheentscheid vom 1. Dezember 2020 wird aufgehoben. Die Angelegenheit wird zur Neuberechnung im Sinne der Erwägungen an die Beschwerdegegnerin zurückgewiesen. 2. Es werden keine Verfahrenskosten erhoben. 3. Die Beschwerdegegnerin hat dem Beschwerdeführer eine Parteientschädigung in Höhe von Fr. 1'837.65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